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06" w:rsidRDefault="00297D06">
      <w:r>
        <w:rPr>
          <w:b/>
          <w:bCs/>
        </w:rPr>
        <w:t>NAAMES</w:t>
      </w:r>
      <w:r w:rsidR="008E0A12">
        <w:rPr>
          <w:b/>
          <w:bCs/>
        </w:rPr>
        <w:t xml:space="preserve"> </w:t>
      </w:r>
      <w:bookmarkStart w:id="0" w:name="_GoBack"/>
      <w:bookmarkEnd w:id="0"/>
      <w:r w:rsidR="00C74A45">
        <w:rPr>
          <w:b/>
          <w:bCs/>
        </w:rPr>
        <w:t>September 2017</w:t>
      </w:r>
      <w:r>
        <w:rPr>
          <w:b/>
          <w:bCs/>
        </w:rPr>
        <w:t xml:space="preserve"> (AT3</w:t>
      </w:r>
      <w:r w:rsidR="00C74A45">
        <w:rPr>
          <w:b/>
          <w:bCs/>
        </w:rPr>
        <w:t>8</w:t>
      </w:r>
      <w:r>
        <w:rPr>
          <w:b/>
          <w:bCs/>
        </w:rPr>
        <w:t>)</w:t>
      </w:r>
    </w:p>
    <w:p w:rsidR="00297D06" w:rsidRDefault="00297D06"/>
    <w:p w:rsidR="001B6FE1" w:rsidRDefault="00297D06">
      <w:pPr>
        <w:rPr>
          <w:b/>
          <w:bCs/>
        </w:rPr>
      </w:pPr>
      <w:r>
        <w:rPr>
          <w:b/>
          <w:bCs/>
        </w:rPr>
        <w:t>Cruise Report:</w:t>
      </w:r>
      <w:r w:rsidR="001B6FE1">
        <w:rPr>
          <w:b/>
          <w:bCs/>
        </w:rPr>
        <w:tab/>
      </w:r>
      <w:r>
        <w:rPr>
          <w:b/>
          <w:bCs/>
        </w:rPr>
        <w:t>Trace gases in seawater/air and atmospheric aerosol composition</w:t>
      </w:r>
    </w:p>
    <w:p w:rsidR="00297D06" w:rsidRDefault="001B6FE1">
      <w:pPr>
        <w:rPr>
          <w:b/>
          <w:bCs/>
        </w:rPr>
      </w:pPr>
      <w:r>
        <w:rPr>
          <w:b/>
          <w:bCs/>
        </w:rPr>
        <w:t>Research Group:</w:t>
      </w:r>
      <w:r>
        <w:rPr>
          <w:b/>
          <w:bCs/>
        </w:rPr>
        <w:tab/>
        <w:t>University of California, Irvine</w:t>
      </w:r>
    </w:p>
    <w:p w:rsidR="00297D06" w:rsidRDefault="00297D06">
      <w:pPr>
        <w:rPr>
          <w:b/>
          <w:bCs/>
        </w:rPr>
      </w:pPr>
    </w:p>
    <w:p w:rsidR="00297D06" w:rsidRDefault="00297D06">
      <w:r>
        <w:t>Report prepared by Thomas G. Bell</w:t>
      </w:r>
    </w:p>
    <w:p w:rsidR="00297D06" w:rsidRDefault="00297D06"/>
    <w:p w:rsidR="00297D06" w:rsidRDefault="00297D06">
      <w:r>
        <w:t>Group Leader: Eric Saltzman</w:t>
      </w:r>
    </w:p>
    <w:p w:rsidR="00297D06" w:rsidRDefault="00297D06">
      <w:r>
        <w:t xml:space="preserve">Group Participants: Eric Saltzman, Thomas Bell, </w:t>
      </w:r>
      <w:r w:rsidR="00C74A45">
        <w:t>Mike Lawler</w:t>
      </w:r>
      <w:r>
        <w:t>, Jack Porter and Cyril McCormick</w:t>
      </w:r>
    </w:p>
    <w:p w:rsidR="00297D06" w:rsidRDefault="00297D06">
      <w:r>
        <w:t xml:space="preserve">Cruise Participants: Thomas Bell, </w:t>
      </w:r>
      <w:r w:rsidR="00C74A45">
        <w:t>Mike Lawler</w:t>
      </w:r>
      <w:r>
        <w:t>, Jack Porter and Cyril McCormick</w:t>
      </w:r>
    </w:p>
    <w:p w:rsidR="00297D06" w:rsidRDefault="00297D06"/>
    <w:p w:rsidR="00297D06" w:rsidRDefault="00297D06">
      <w:r>
        <w:t>Objectives:</w:t>
      </w:r>
    </w:p>
    <w:p w:rsidR="00297D06" w:rsidRDefault="00297D06">
      <w:r>
        <w:t xml:space="preserve">Our primary goal was to quantify the levels </w:t>
      </w:r>
      <w:r w:rsidR="00FD7B4C">
        <w:t xml:space="preserve">and air/sea fluxes </w:t>
      </w:r>
      <w:r>
        <w:t>of gases and particles that may be involved in new</w:t>
      </w:r>
      <w:r w:rsidR="001D129B">
        <w:t xml:space="preserve"> particle formation and</w:t>
      </w:r>
      <w:r>
        <w:t xml:space="preserve"> growth </w:t>
      </w:r>
      <w:r w:rsidR="001D129B">
        <w:t>to</w:t>
      </w:r>
      <w:r>
        <w:t xml:space="preserve"> cloud condensation nuclei (CCN) in the remote ocean. A secondary goal was to </w:t>
      </w:r>
      <w:r w:rsidR="00FD7C6C">
        <w:t xml:space="preserve">quantify the direct flux of </w:t>
      </w:r>
      <w:proofErr w:type="spellStart"/>
      <w:r w:rsidR="00FD7C6C">
        <w:t>dimethylsulfide</w:t>
      </w:r>
      <w:proofErr w:type="spellEnd"/>
      <w:r w:rsidR="00FD7C6C">
        <w:t xml:space="preserve"> </w:t>
      </w:r>
      <w:r w:rsidR="001D129B">
        <w:t xml:space="preserve">(DMS) </w:t>
      </w:r>
      <w:r w:rsidR="00FD7C6C">
        <w:t>from the ocean to</w:t>
      </w:r>
      <w:r>
        <w:t xml:space="preserve"> the atmosphere.</w:t>
      </w:r>
    </w:p>
    <w:p w:rsidR="00297D06" w:rsidRDefault="00297D06"/>
    <w:p w:rsidR="00297D06" w:rsidRDefault="00745D7C">
      <w:r>
        <w:t>To achieve the goals above</w:t>
      </w:r>
      <w:r w:rsidR="00297D06">
        <w:t xml:space="preserve"> </w:t>
      </w:r>
      <w:proofErr w:type="gramStart"/>
      <w:r w:rsidR="00297D06">
        <w:t>we</w:t>
      </w:r>
      <w:proofErr w:type="gramEnd"/>
      <w:r w:rsidR="00297D06">
        <w:t xml:space="preserve"> quantified </w:t>
      </w:r>
      <w:r w:rsidR="00FD7C6C">
        <w:t>DMS</w:t>
      </w:r>
      <w:r w:rsidR="00297D06">
        <w:t xml:space="preserve"> levels in the atmosphere</w:t>
      </w:r>
      <w:r w:rsidR="00FD7B4C">
        <w:t xml:space="preserve"> and ocean</w:t>
      </w:r>
      <w:r w:rsidR="00297D06">
        <w:t xml:space="preserve">. </w:t>
      </w:r>
      <w:r w:rsidR="00FD7C6C">
        <w:t>Atmospheric m</w:t>
      </w:r>
      <w:r w:rsidR="00297D06">
        <w:t xml:space="preserve">easurements were </w:t>
      </w:r>
      <w:r w:rsidR="00FD7C6C">
        <w:t xml:space="preserve">made </w:t>
      </w:r>
      <w:r w:rsidR="00297D06">
        <w:t xml:space="preserve">continuously </w:t>
      </w:r>
      <w:r w:rsidR="00FD7C6C">
        <w:t xml:space="preserve">at high frequency </w:t>
      </w:r>
      <w:r w:rsidR="00297D06">
        <w:t xml:space="preserve">throughout the cruise. </w:t>
      </w:r>
      <w:r w:rsidR="00FD7C6C">
        <w:t>High frequency concentration data coupled with three-dimensional winds facilitates the calculation of vertical fluxes</w:t>
      </w:r>
      <w:r w:rsidR="001D129B">
        <w:t xml:space="preserve"> by eddy covariance</w:t>
      </w:r>
      <w:r w:rsidR="00FD7C6C">
        <w:t xml:space="preserve">. </w:t>
      </w:r>
      <w:r w:rsidR="00BB2336">
        <w:t>S</w:t>
      </w:r>
      <w:r w:rsidR="00297D06">
        <w:t xml:space="preserve">eawater DMS </w:t>
      </w:r>
      <w:r w:rsidR="00FD7C6C">
        <w:t xml:space="preserve">and acetone levels </w:t>
      </w:r>
      <w:proofErr w:type="gramStart"/>
      <w:r w:rsidR="00FD7C6C">
        <w:t>were</w:t>
      </w:r>
      <w:r w:rsidR="00297D06">
        <w:t xml:space="preserve"> also measured</w:t>
      </w:r>
      <w:proofErr w:type="gramEnd"/>
      <w:r w:rsidR="00297D06">
        <w:t xml:space="preserve"> continuously during the cruise</w:t>
      </w:r>
      <w:r w:rsidR="00FD7C6C">
        <w:t>.  These data will be used to estimate the air/sea concentration gradient (</w:t>
      </w:r>
      <w:r w:rsidR="00FD7C6C">
        <w:rPr>
          <w:rFonts w:cs="Times New Roman"/>
        </w:rPr>
        <w:t>∆</w:t>
      </w:r>
      <w:r w:rsidR="00FD7C6C">
        <w:t xml:space="preserve">C) and </w:t>
      </w:r>
      <w:r w:rsidR="00C74A45">
        <w:t xml:space="preserve">air-sea fluxes </w:t>
      </w:r>
      <w:r w:rsidR="00FD7C6C">
        <w:t xml:space="preserve">using </w:t>
      </w:r>
      <w:r w:rsidR="00C74A45">
        <w:t xml:space="preserve">Flux = </w:t>
      </w:r>
      <w:proofErr w:type="spellStart"/>
      <w:r w:rsidR="00FD7C6C" w:rsidRPr="00FD7C6C">
        <w:rPr>
          <w:i/>
        </w:rPr>
        <w:t>k</w:t>
      </w:r>
      <w:r w:rsidR="00FD7C6C">
        <w:rPr>
          <w:rFonts w:cs="Times New Roman"/>
        </w:rPr>
        <w:t>∆</w:t>
      </w:r>
      <w:r w:rsidR="00FD7C6C">
        <w:t>C</w:t>
      </w:r>
      <w:proofErr w:type="spellEnd"/>
      <w:r w:rsidR="00FD7C6C">
        <w:t xml:space="preserve">.  We </w:t>
      </w:r>
      <w:r w:rsidR="009E6B05">
        <w:t xml:space="preserve">will </w:t>
      </w:r>
      <w:r w:rsidR="00FD7C6C">
        <w:t>also</w:t>
      </w:r>
      <w:r w:rsidR="00E5626E">
        <w:t xml:space="preserve"> </w:t>
      </w:r>
      <w:r w:rsidR="00FD7C6C">
        <w:t xml:space="preserve">work with </w:t>
      </w:r>
      <w:r w:rsidR="009E6B05">
        <w:t xml:space="preserve">data </w:t>
      </w:r>
      <w:r w:rsidR="00FD7B4C">
        <w:t>collected by</w:t>
      </w:r>
      <w:r w:rsidR="009E6B05">
        <w:t xml:space="preserve"> </w:t>
      </w:r>
      <w:r w:rsidR="00FD7C6C">
        <w:t xml:space="preserve">other NAAMES participants to </w:t>
      </w:r>
      <w:r w:rsidR="00E5626E">
        <w:t>assess the</w:t>
      </w:r>
      <w:r w:rsidR="00BB2336">
        <w:t xml:space="preserve"> biological </w:t>
      </w:r>
      <w:r w:rsidR="00E5626E">
        <w:t>controls on</w:t>
      </w:r>
      <w:r w:rsidR="00BB2336">
        <w:t xml:space="preserve"> </w:t>
      </w:r>
      <w:r w:rsidR="00FD7C6C">
        <w:t>seawater</w:t>
      </w:r>
      <w:r w:rsidR="00BB2336">
        <w:t xml:space="preserve"> DMS</w:t>
      </w:r>
      <w:r w:rsidR="00C74A45">
        <w:t xml:space="preserve"> and acetone</w:t>
      </w:r>
      <w:r w:rsidR="00297D06">
        <w:t xml:space="preserve">. </w:t>
      </w:r>
    </w:p>
    <w:p w:rsidR="00297D06" w:rsidRDefault="00297D06"/>
    <w:p w:rsidR="00FD7B4C" w:rsidRDefault="00297D06">
      <w:r>
        <w:t>Seawater and atmospheric DMS</w:t>
      </w:r>
      <w:r w:rsidR="00FD7C6C">
        <w:t>/acetone</w:t>
      </w:r>
      <w:r>
        <w:t xml:space="preserve"> measurements were made using Atm</w:t>
      </w:r>
      <w:r w:rsidR="009513E6">
        <w:t>ospheric Pressure-Chemical Ioniz</w:t>
      </w:r>
      <w:r>
        <w:t xml:space="preserve">ation Mass Spectrometry (API-CIMS).  </w:t>
      </w:r>
      <w:r w:rsidR="001D129B">
        <w:t>Atmospheric m</w:t>
      </w:r>
      <w:r>
        <w:t>easuremen</w:t>
      </w:r>
      <w:r w:rsidR="009513E6">
        <w:t>ts were made at 10 Hz and</w:t>
      </w:r>
      <w:r>
        <w:t xml:space="preserve"> will be coupled with measurements of 3-dimensional wind speeds (corrected for ship's motion) to make direct air</w:t>
      </w:r>
      <w:r w:rsidR="00FD7B4C">
        <w:t>/sea</w:t>
      </w:r>
      <w:r>
        <w:t xml:space="preserve"> </w:t>
      </w:r>
      <w:r w:rsidR="009E6B05">
        <w:t>f</w:t>
      </w:r>
      <w:r>
        <w:t>lux</w:t>
      </w:r>
      <w:r w:rsidR="009E6B05">
        <w:t xml:space="preserve"> estimates</w:t>
      </w:r>
      <w:r>
        <w:t>. Seawater was equil</w:t>
      </w:r>
      <w:r w:rsidR="009513E6">
        <w:t xml:space="preserve">ibrated with </w:t>
      </w:r>
      <w:r w:rsidR="00E5626E">
        <w:t>clean</w:t>
      </w:r>
      <w:r w:rsidR="009E6B05">
        <w:t xml:space="preserve"> air</w:t>
      </w:r>
      <w:r w:rsidR="00BB2336">
        <w:t xml:space="preserve"> </w:t>
      </w:r>
      <w:r w:rsidR="00E5626E">
        <w:t>and</w:t>
      </w:r>
      <w:r w:rsidR="009513E6">
        <w:t xml:space="preserve"> analyz</w:t>
      </w:r>
      <w:r>
        <w:t xml:space="preserve">ed </w:t>
      </w:r>
      <w:r w:rsidR="00E5626E">
        <w:t xml:space="preserve">by API-CIMS </w:t>
      </w:r>
      <w:r>
        <w:t>for DMS</w:t>
      </w:r>
      <w:r w:rsidR="009E6B05">
        <w:t xml:space="preserve"> and acetone</w:t>
      </w:r>
      <w:r w:rsidR="00FD7B4C">
        <w:t>.</w:t>
      </w:r>
    </w:p>
    <w:p w:rsidR="00FD7B4C" w:rsidRDefault="00FD7B4C"/>
    <w:p w:rsidR="00297D06" w:rsidRDefault="008809E5">
      <w:r w:rsidRPr="00706F3E">
        <w:t>2,0</w:t>
      </w:r>
      <w:r w:rsidR="00C447B7" w:rsidRPr="00706F3E">
        <w:t>00 a</w:t>
      </w:r>
      <w:r w:rsidR="00297D06" w:rsidRPr="00706F3E">
        <w:t>er</w:t>
      </w:r>
      <w:r w:rsidR="00297D06">
        <w:t xml:space="preserve">osol samples were collected for composition analysis </w:t>
      </w:r>
      <w:proofErr w:type="gramStart"/>
      <w:r w:rsidR="00297D06">
        <w:t>at a later date</w:t>
      </w:r>
      <w:proofErr w:type="gramEnd"/>
      <w:r w:rsidR="00297D06">
        <w:t xml:space="preserve">. </w:t>
      </w:r>
      <w:r w:rsidR="00E5626E">
        <w:t>Aerosol s</w:t>
      </w:r>
      <w:r w:rsidR="00297D06">
        <w:t xml:space="preserve">amples were collected continuously from ambient air </w:t>
      </w:r>
      <w:r w:rsidR="00E068AA">
        <w:t>as well as</w:t>
      </w:r>
      <w:r w:rsidR="00297D06">
        <w:t xml:space="preserve"> during PMEL </w:t>
      </w:r>
      <w:proofErr w:type="spellStart"/>
      <w:r w:rsidR="00297D06">
        <w:t>SeaSweep</w:t>
      </w:r>
      <w:proofErr w:type="spellEnd"/>
      <w:r w:rsidR="00297D06">
        <w:t xml:space="preserve"> </w:t>
      </w:r>
      <w:r w:rsidR="001D129B">
        <w:t>deployment periods</w:t>
      </w:r>
      <w:r w:rsidR="00297D06">
        <w:t>.</w:t>
      </w:r>
      <w:r w:rsidR="00FD7B4C">
        <w:t xml:space="preserve"> </w:t>
      </w:r>
    </w:p>
    <w:p w:rsidR="00297D06" w:rsidRDefault="00C447B7">
      <w:r>
        <w:t>Aerosol was collected in ultrapure water using a particle into liquid sampler</w:t>
      </w:r>
      <w:r w:rsidR="001D129B">
        <w:t xml:space="preserve"> (PILS)</w:t>
      </w:r>
      <w:r>
        <w:t xml:space="preserve">.  The composition of organic compounds that </w:t>
      </w:r>
      <w:r w:rsidR="001D129B">
        <w:t>are</w:t>
      </w:r>
      <w:r>
        <w:t xml:space="preserve"> released into the atmosphere as primary aerosol via bubble bursting will be analyzed </w:t>
      </w:r>
      <w:r w:rsidR="001D129B">
        <w:t>at UCI</w:t>
      </w:r>
      <w:r>
        <w:t xml:space="preserve"> using ion chromatography with electrospray mass spectrometric detection.</w:t>
      </w:r>
    </w:p>
    <w:p w:rsidR="00C447B7" w:rsidRDefault="00C447B7"/>
    <w:p w:rsidR="00297D06" w:rsidRDefault="00297D06">
      <w:pPr>
        <w:rPr>
          <w:i/>
          <w:iCs/>
          <w:sz w:val="22"/>
          <w:szCs w:val="22"/>
        </w:rPr>
      </w:pPr>
      <w:r>
        <w:t>Table 1: Summary of m</w:t>
      </w:r>
      <w:r w:rsidR="001D129B">
        <w:t>easurements made during the AT34</w:t>
      </w:r>
      <w:r>
        <w:t xml:space="preserve"> cruise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1695"/>
        <w:gridCol w:w="1350"/>
        <w:gridCol w:w="2550"/>
      </w:tblGrid>
      <w:tr w:rsidR="00297D06" w:rsidTr="007A6A2A">
        <w:tc>
          <w:tcPr>
            <w:tcW w:w="3075" w:type="dxa"/>
            <w:shd w:val="clear" w:color="auto" w:fill="auto"/>
          </w:tcPr>
          <w:p w:rsidR="00297D06" w:rsidRDefault="00297D06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Instrument</w:t>
            </w:r>
          </w:p>
        </w:tc>
        <w:tc>
          <w:tcPr>
            <w:tcW w:w="1695" w:type="dxa"/>
            <w:shd w:val="clear" w:color="auto" w:fill="auto"/>
          </w:tcPr>
          <w:p w:rsidR="00297D06" w:rsidRDefault="00297D06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Parameter</w:t>
            </w:r>
          </w:p>
        </w:tc>
        <w:tc>
          <w:tcPr>
            <w:tcW w:w="1350" w:type="dxa"/>
            <w:shd w:val="clear" w:color="auto" w:fill="auto"/>
          </w:tcPr>
          <w:p w:rsidR="00297D06" w:rsidRDefault="00297D06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Mode</w:t>
            </w:r>
          </w:p>
        </w:tc>
        <w:tc>
          <w:tcPr>
            <w:tcW w:w="2550" w:type="dxa"/>
            <w:shd w:val="clear" w:color="auto" w:fill="auto"/>
          </w:tcPr>
          <w:p w:rsidR="00297D06" w:rsidRDefault="00297D06">
            <w:pPr>
              <w:pStyle w:val="TableContents"/>
            </w:pPr>
            <w:r>
              <w:rPr>
                <w:i/>
                <w:iCs/>
                <w:sz w:val="22"/>
                <w:szCs w:val="22"/>
              </w:rPr>
              <w:t>No. of samples</w:t>
            </w:r>
          </w:p>
        </w:tc>
      </w:tr>
      <w:tr w:rsidR="00297D06" w:rsidTr="007A6A2A">
        <w:tc>
          <w:tcPr>
            <w:tcW w:w="3075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API-CIMS (</w:t>
            </w:r>
            <w:proofErr w:type="spellStart"/>
            <w:r>
              <w:rPr>
                <w:sz w:val="22"/>
                <w:szCs w:val="22"/>
              </w:rPr>
              <w:t>mesoCIMS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297D06" w:rsidRDefault="00297D06" w:rsidP="00C74A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Atmospheric DMS</w:t>
            </w:r>
            <w:r w:rsidR="00FD7C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conc. and flux</w:t>
            </w:r>
          </w:p>
        </w:tc>
        <w:tc>
          <w:tcPr>
            <w:tcW w:w="1350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</w:t>
            </w:r>
          </w:p>
          <w:p w:rsidR="00297D06" w:rsidRDefault="00297D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297D06" w:rsidRDefault="00297D06">
            <w:pPr>
              <w:pStyle w:val="TableContents"/>
            </w:pPr>
            <w:r>
              <w:rPr>
                <w:sz w:val="22"/>
                <w:szCs w:val="22"/>
              </w:rPr>
              <w:t>n/a</w:t>
            </w:r>
          </w:p>
        </w:tc>
      </w:tr>
      <w:tr w:rsidR="00297D06" w:rsidTr="007A6A2A">
        <w:tc>
          <w:tcPr>
            <w:tcW w:w="3075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API-CIMS (</w:t>
            </w:r>
            <w:proofErr w:type="spellStart"/>
            <w:r>
              <w:rPr>
                <w:sz w:val="22"/>
                <w:szCs w:val="22"/>
              </w:rPr>
              <w:t>miniCIMS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Seawater DMS</w:t>
            </w:r>
            <w:r w:rsidR="00FD7C6C">
              <w:rPr>
                <w:sz w:val="22"/>
                <w:szCs w:val="22"/>
              </w:rPr>
              <w:t xml:space="preserve"> and acetone</w:t>
            </w:r>
          </w:p>
        </w:tc>
        <w:tc>
          <w:tcPr>
            <w:tcW w:w="1350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</w:t>
            </w:r>
          </w:p>
          <w:p w:rsidR="00297D06" w:rsidRDefault="00297D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297D06" w:rsidRDefault="00297D06">
            <w:pPr>
              <w:pStyle w:val="TableContents"/>
            </w:pPr>
            <w:r>
              <w:rPr>
                <w:sz w:val="22"/>
                <w:szCs w:val="22"/>
              </w:rPr>
              <w:t>n/a</w:t>
            </w:r>
          </w:p>
        </w:tc>
      </w:tr>
      <w:tr w:rsidR="00297D06" w:rsidTr="007A6A2A">
        <w:tc>
          <w:tcPr>
            <w:tcW w:w="3075" w:type="dxa"/>
            <w:shd w:val="clear" w:color="auto" w:fill="auto"/>
          </w:tcPr>
          <w:p w:rsidR="00297D06" w:rsidRPr="00500813" w:rsidRDefault="00297D06">
            <w:pPr>
              <w:pStyle w:val="TableContents"/>
              <w:rPr>
                <w:sz w:val="22"/>
                <w:szCs w:val="22"/>
                <w:lang w:val="fr-FR"/>
              </w:rPr>
            </w:pPr>
            <w:r w:rsidRPr="00500813">
              <w:rPr>
                <w:sz w:val="22"/>
                <w:szCs w:val="22"/>
                <w:lang w:val="fr-FR"/>
              </w:rPr>
              <w:t>Particle In Liquid Sampler (PILS)</w:t>
            </w:r>
          </w:p>
        </w:tc>
        <w:tc>
          <w:tcPr>
            <w:tcW w:w="1695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Aerosol</w:t>
            </w:r>
          </w:p>
        </w:tc>
        <w:tc>
          <w:tcPr>
            <w:tcW w:w="1350" w:type="dxa"/>
            <w:shd w:val="clear" w:color="auto" w:fill="auto"/>
          </w:tcPr>
          <w:p w:rsidR="00297D06" w:rsidRDefault="00297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collection into discrete vials</w:t>
            </w:r>
          </w:p>
        </w:tc>
        <w:tc>
          <w:tcPr>
            <w:tcW w:w="2550" w:type="dxa"/>
            <w:shd w:val="clear" w:color="auto" w:fill="auto"/>
          </w:tcPr>
          <w:p w:rsidR="00297D06" w:rsidRPr="00706F3E" w:rsidRDefault="007A6A2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Ambient </w:t>
            </w:r>
            <w:r w:rsidRPr="00706F3E">
              <w:rPr>
                <w:sz w:val="22"/>
                <w:szCs w:val="22"/>
              </w:rPr>
              <w:t>air (~1,</w:t>
            </w:r>
            <w:r w:rsidR="008809E5" w:rsidRPr="00706F3E">
              <w:rPr>
                <w:sz w:val="22"/>
                <w:szCs w:val="22"/>
              </w:rPr>
              <w:t>300</w:t>
            </w:r>
            <w:r w:rsidR="00297D06" w:rsidRPr="00706F3E">
              <w:rPr>
                <w:sz w:val="22"/>
                <w:szCs w:val="22"/>
              </w:rPr>
              <w:t xml:space="preserve"> vials)</w:t>
            </w:r>
          </w:p>
          <w:p w:rsidR="00297D06" w:rsidRDefault="00297D06" w:rsidP="007A6A2A">
            <w:pPr>
              <w:pStyle w:val="TableContents"/>
            </w:pPr>
            <w:r w:rsidRPr="00706F3E">
              <w:rPr>
                <w:sz w:val="22"/>
                <w:szCs w:val="22"/>
              </w:rPr>
              <w:t>Sea Sweep (~</w:t>
            </w:r>
            <w:r w:rsidR="008809E5" w:rsidRPr="00706F3E">
              <w:rPr>
                <w:sz w:val="22"/>
                <w:szCs w:val="22"/>
              </w:rPr>
              <w:t>7</w:t>
            </w:r>
            <w:r w:rsidR="007A6A2A" w:rsidRPr="00706F3E">
              <w:rPr>
                <w:sz w:val="22"/>
                <w:szCs w:val="22"/>
              </w:rPr>
              <w:t>00</w:t>
            </w:r>
            <w:r w:rsidRPr="00706F3E">
              <w:rPr>
                <w:sz w:val="22"/>
                <w:szCs w:val="22"/>
              </w:rPr>
              <w:t xml:space="preserve"> vials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297D06" w:rsidRDefault="00297D06"/>
    <w:p w:rsidR="00297D06" w:rsidRDefault="00297D06">
      <w:r>
        <w:t xml:space="preserve">All instruments were run continuously unless problems required them to be serviced. Atmospheric data will only be analyzed during periods when the relative winds </w:t>
      </w:r>
      <w:r w:rsidR="00787C1E">
        <w:t>came</w:t>
      </w:r>
      <w:r>
        <w:t xml:space="preserve"> over the bow (</w:t>
      </w:r>
      <w:r>
        <w:rPr>
          <w:rFonts w:cs="Times New Roman"/>
        </w:rPr>
        <w:t xml:space="preserve">± </w:t>
      </w:r>
      <w:r>
        <w:t xml:space="preserve">90°). Internal </w:t>
      </w:r>
      <w:r>
        <w:lastRenderedPageBreak/>
        <w:t xml:space="preserve">isotope standards (deuterated (d3) DMS and carbon-13 labeled </w:t>
      </w:r>
      <w:r w:rsidR="009E6B05">
        <w:t>acetone</w:t>
      </w:r>
      <w:r>
        <w:t xml:space="preserve">) were used with all mass spectrometers to characterize instrument drift and changes in the atmospheric inlet and/or seawater equilibrator.  </w:t>
      </w:r>
    </w:p>
    <w:p w:rsidR="00297D06" w:rsidRDefault="00297D06"/>
    <w:p w:rsidR="00297D06" w:rsidRDefault="00297D06">
      <w:r>
        <w:t>In the next 3</w:t>
      </w:r>
      <w:r w:rsidR="00E5626E">
        <w:t>-6</w:t>
      </w:r>
      <w:r>
        <w:t xml:space="preserve"> months, efforts </w:t>
      </w:r>
      <w:proofErr w:type="gramStart"/>
      <w:r>
        <w:t>will primarily be focused</w:t>
      </w:r>
      <w:proofErr w:type="gramEnd"/>
      <w:r>
        <w:t xml:space="preserve"> on finalizing and quality controlling the</w:t>
      </w:r>
      <w:r w:rsidR="00500813">
        <w:t xml:space="preserve"> </w:t>
      </w:r>
      <w:r w:rsidR="00C74A45">
        <w:t>data.</w:t>
      </w:r>
    </w:p>
    <w:p w:rsidR="00297D06" w:rsidRDefault="00297D06"/>
    <w:p w:rsidR="00297D06" w:rsidRDefault="00297D06"/>
    <w:sectPr w:rsidR="00297D0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13"/>
    <w:rsid w:val="001B6FE1"/>
    <w:rsid w:val="001D129B"/>
    <w:rsid w:val="00297D06"/>
    <w:rsid w:val="002E59A6"/>
    <w:rsid w:val="00500813"/>
    <w:rsid w:val="00646C66"/>
    <w:rsid w:val="0066774C"/>
    <w:rsid w:val="00706F3E"/>
    <w:rsid w:val="00745D7C"/>
    <w:rsid w:val="00787C1E"/>
    <w:rsid w:val="007A6A2A"/>
    <w:rsid w:val="00880612"/>
    <w:rsid w:val="008809E5"/>
    <w:rsid w:val="008E0A12"/>
    <w:rsid w:val="009513E6"/>
    <w:rsid w:val="009E6B05"/>
    <w:rsid w:val="00AB2F56"/>
    <w:rsid w:val="00BB2336"/>
    <w:rsid w:val="00C447B7"/>
    <w:rsid w:val="00C637FA"/>
    <w:rsid w:val="00C74A45"/>
    <w:rsid w:val="00E068AA"/>
    <w:rsid w:val="00E40E78"/>
    <w:rsid w:val="00E5626E"/>
    <w:rsid w:val="00FD7B4C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F180B2"/>
  <w15:chartTrackingRefBased/>
  <w15:docId w15:val="{A5FDC6C0-F006-4EA7-A0EA-0E0D5F3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semiHidden/>
    <w:rsid w:val="00BB2336"/>
    <w:rPr>
      <w:sz w:val="16"/>
      <w:szCs w:val="16"/>
    </w:rPr>
  </w:style>
  <w:style w:type="paragraph" w:styleId="CommentText">
    <w:name w:val="annotation text"/>
    <w:basedOn w:val="Normal"/>
    <w:semiHidden/>
    <w:rsid w:val="00BB23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2336"/>
    <w:rPr>
      <w:b/>
      <w:bCs/>
    </w:rPr>
  </w:style>
  <w:style w:type="paragraph" w:styleId="BalloonText">
    <w:name w:val="Balloon Text"/>
    <w:basedOn w:val="Normal"/>
    <w:semiHidden/>
    <w:rsid w:val="00BB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doesn’t have to be particularly long (1 – 3 pages) and should start with a brief paragraph describing the overall objectives of your group, followed by a summary of your measurements during the cruise, post-cruise activities (e</vt:lpstr>
    </vt:vector>
  </TitlesOfParts>
  <Company>Toshiba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doesn’t have to be particularly long (1 – 3 pages) and should start with a brief paragraph describing the overall objectives of your group, followed by a summary of your measurements during the cruise, post-cruise activities (e</dc:title>
  <dc:subject/>
  <dc:creator>Tom Bell</dc:creator>
  <cp:keywords/>
  <cp:lastModifiedBy>Tom Bell</cp:lastModifiedBy>
  <cp:revision>6</cp:revision>
  <cp:lastPrinted>1900-01-01T00:00:00Z</cp:lastPrinted>
  <dcterms:created xsi:type="dcterms:W3CDTF">2017-09-21T13:14:00Z</dcterms:created>
  <dcterms:modified xsi:type="dcterms:W3CDTF">2018-05-19T18:27:00Z</dcterms:modified>
</cp:coreProperties>
</file>